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002" w:rsidRDefault="00912002" w:rsidP="00912002">
      <w:bookmarkStart w:id="0" w:name="_GoBack"/>
      <w:bookmarkEnd w:id="0"/>
    </w:p>
    <w:p w:rsidR="00912002" w:rsidRPr="00912002" w:rsidRDefault="00912002" w:rsidP="00912002">
      <w:pPr>
        <w:jc w:val="center"/>
        <w:rPr>
          <w:rFonts w:ascii="Arial Rounded MT Bold" w:hAnsi="Arial Rounded MT Bold"/>
          <w:sz w:val="28"/>
        </w:rPr>
      </w:pPr>
    </w:p>
    <w:p w:rsidR="00912002" w:rsidRPr="00912002" w:rsidRDefault="00912002" w:rsidP="00912002">
      <w:pPr>
        <w:jc w:val="center"/>
        <w:rPr>
          <w:rFonts w:ascii="Arial Rounded MT Bold" w:hAnsi="Arial Rounded MT Bold"/>
          <w:sz w:val="28"/>
        </w:rPr>
      </w:pPr>
      <w:r w:rsidRPr="00912002">
        <w:rPr>
          <w:rFonts w:ascii="Arial Rounded MT Bold" w:hAnsi="Arial Rounded MT Bold"/>
          <w:sz w:val="28"/>
        </w:rPr>
        <w:t xml:space="preserve">C O N V O C A T O R I A </w:t>
      </w:r>
    </w:p>
    <w:p w:rsidR="00912002" w:rsidRPr="00912002" w:rsidRDefault="00912002" w:rsidP="00912002">
      <w:pPr>
        <w:jc w:val="center"/>
        <w:rPr>
          <w:rFonts w:ascii="Arial Rounded MT Bold" w:hAnsi="Arial Rounded MT Bold"/>
          <w:sz w:val="28"/>
        </w:rPr>
      </w:pPr>
      <w:r w:rsidRPr="00912002">
        <w:rPr>
          <w:rFonts w:ascii="Arial Rounded MT Bold" w:hAnsi="Arial Rounded MT Bold"/>
          <w:sz w:val="28"/>
        </w:rPr>
        <w:t xml:space="preserve">XIV Edición del Evento Nacional de Informática para Jóvenes </w:t>
      </w:r>
    </w:p>
    <w:p w:rsidR="00912002" w:rsidRPr="00912002" w:rsidRDefault="00912002" w:rsidP="00912002">
      <w:pPr>
        <w:jc w:val="center"/>
        <w:rPr>
          <w:rFonts w:ascii="Arial Rounded MT Bold" w:hAnsi="Arial Rounded MT Bold"/>
          <w:sz w:val="28"/>
        </w:rPr>
      </w:pPr>
      <w:r w:rsidRPr="00912002">
        <w:rPr>
          <w:rFonts w:ascii="Arial Rounded MT Bold" w:hAnsi="Arial Rounded MT Bold"/>
          <w:sz w:val="28"/>
        </w:rPr>
        <w:t xml:space="preserve"> INFOCLUB 2019</w:t>
      </w:r>
    </w:p>
    <w:p w:rsidR="00912002" w:rsidRPr="00912002" w:rsidRDefault="00912002" w:rsidP="00912002">
      <w:pPr>
        <w:rPr>
          <w:rFonts w:ascii="Arial Rounded MT Bold" w:hAnsi="Arial Rounded MT Bold"/>
        </w:rPr>
      </w:pPr>
      <w:r w:rsidRPr="00912002">
        <w:rPr>
          <w:rFonts w:ascii="Arial Rounded MT Bold" w:hAnsi="Arial Rounded MT Bold"/>
        </w:rPr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Estimados colegas: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Del 19 al 21 de junio  del 2019, </w:t>
      </w:r>
      <w:r w:rsidR="00C11126">
        <w:rPr>
          <w:rFonts w:ascii="Arial" w:hAnsi="Arial" w:cs="Arial"/>
          <w:sz w:val="24"/>
          <w:szCs w:val="24"/>
        </w:rPr>
        <w:t>Ciego de Ávila</w:t>
      </w:r>
      <w:r w:rsidRPr="00081229">
        <w:rPr>
          <w:rFonts w:ascii="Arial" w:hAnsi="Arial" w:cs="Arial"/>
          <w:sz w:val="24"/>
          <w:szCs w:val="24"/>
        </w:rPr>
        <w:t xml:space="preserve"> acogerá la XIV edición del Evento Nacional de Informática para Jóvenes, INFOCLUB 2019, organizado por los Joven Club de Computación y Electrónica.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En esta edición se pretende propiciar el intercambio, exposición y divulgación de las principales propuestas y experiencias en el país relacionadas con el uso de las Tecnologías de la Información y la Comunicación (TIC). 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>Contará además con espacio para conferencias, talleres y exposiciones, con la participación de especialistas de reconocido prestigio en la rama.</w:t>
      </w:r>
      <w:r w:rsidR="00081229" w:rsidRPr="00081229">
        <w:rPr>
          <w:rFonts w:ascii="Arial" w:hAnsi="Arial" w:cs="Arial"/>
          <w:sz w:val="24"/>
          <w:szCs w:val="24"/>
        </w:rPr>
        <w:t xml:space="preserve"> </w:t>
      </w:r>
      <w:r w:rsidRPr="00081229">
        <w:rPr>
          <w:rFonts w:ascii="Arial" w:hAnsi="Arial" w:cs="Arial"/>
          <w:sz w:val="24"/>
          <w:szCs w:val="24"/>
        </w:rPr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b/>
          <w:sz w:val="24"/>
          <w:szCs w:val="24"/>
        </w:rPr>
      </w:pPr>
      <w:r w:rsidRPr="00081229">
        <w:rPr>
          <w:rFonts w:ascii="Arial" w:hAnsi="Arial" w:cs="Arial"/>
          <w:b/>
          <w:sz w:val="24"/>
          <w:szCs w:val="24"/>
        </w:rPr>
        <w:t xml:space="preserve">Objetivos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I. Propiciar un espacio para el intercambio de experiencias a profesionales, técnicos e interesados en los temas de la informática, la comunicación y la electrónica.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II. Identificar tendencias y perspectivas del desarrollo de la informática, la comunicación y la electrónica y su aplicación en la sociedad cubana.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III. Potenciar el trabajo sobre la calidad enfocada al cliente y la protección al consumidor.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>IV. Perfeccionar el proceso de formación a través de las TIC y la electrónica.</w:t>
      </w:r>
      <w:r w:rsidR="00081229" w:rsidRPr="00081229">
        <w:rPr>
          <w:rFonts w:ascii="Arial" w:hAnsi="Arial" w:cs="Arial"/>
          <w:sz w:val="24"/>
          <w:szCs w:val="24"/>
        </w:rPr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b/>
          <w:sz w:val="24"/>
          <w:szCs w:val="24"/>
        </w:rPr>
      </w:pPr>
      <w:r w:rsidRPr="00081229">
        <w:rPr>
          <w:rFonts w:ascii="Arial" w:hAnsi="Arial" w:cs="Arial"/>
          <w:b/>
          <w:sz w:val="24"/>
          <w:szCs w:val="24"/>
        </w:rPr>
        <w:t xml:space="preserve">Temáticas de concurso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  <w:u w:val="single"/>
        </w:rPr>
      </w:pPr>
      <w:r w:rsidRPr="00081229">
        <w:rPr>
          <w:rFonts w:ascii="Arial" w:hAnsi="Arial" w:cs="Arial"/>
          <w:sz w:val="24"/>
          <w:szCs w:val="24"/>
          <w:u w:val="single"/>
        </w:rPr>
        <w:t xml:space="preserve">1. Soluciones informáticas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Productos relacionados con el entretenimiento, la cultura y la historia de Cuba. Desarrollo de contenidos locales y de significancia para la sociedad. Propuestas para proporcionar acceso. Redes comunitarias. Uso y desarrollo a través de tecnologías de código abierto.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  <w:u w:val="single"/>
        </w:rPr>
      </w:pPr>
      <w:r w:rsidRPr="00081229">
        <w:rPr>
          <w:rFonts w:ascii="Arial" w:hAnsi="Arial" w:cs="Arial"/>
          <w:sz w:val="24"/>
          <w:szCs w:val="24"/>
          <w:u w:val="single"/>
        </w:rPr>
        <w:t xml:space="preserve">2. Gestión de contenidos en el entorno de internet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Desarrollo y gestión de contenidos en beneficio de los jóvenes. Importancia de las redes y la seguridad informática para el uso inteligente, ético y seguro de las TIC.  Redes sociales, las noticias falsas y la protección de la privacidad.  La seguridad de los menores en el ciberespacio. Delitos informáticos y </w:t>
      </w:r>
      <w:proofErr w:type="spellStart"/>
      <w:r w:rsidRPr="00081229">
        <w:rPr>
          <w:rFonts w:ascii="Arial" w:hAnsi="Arial" w:cs="Arial"/>
          <w:sz w:val="24"/>
          <w:szCs w:val="24"/>
        </w:rPr>
        <w:t>cibercrimen</w:t>
      </w:r>
      <w:proofErr w:type="spellEnd"/>
      <w:r w:rsidRPr="00081229">
        <w:rPr>
          <w:rFonts w:ascii="Arial" w:hAnsi="Arial" w:cs="Arial"/>
          <w:sz w:val="24"/>
          <w:szCs w:val="24"/>
        </w:rPr>
        <w:t>.</w:t>
      </w:r>
      <w:r w:rsidR="00081229" w:rsidRPr="00081229">
        <w:rPr>
          <w:rFonts w:ascii="Arial" w:hAnsi="Arial" w:cs="Arial"/>
          <w:sz w:val="24"/>
          <w:szCs w:val="24"/>
        </w:rPr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  <w:u w:val="single"/>
        </w:rPr>
      </w:pPr>
      <w:r w:rsidRPr="00081229">
        <w:rPr>
          <w:rFonts w:ascii="Arial" w:hAnsi="Arial" w:cs="Arial"/>
          <w:sz w:val="24"/>
          <w:szCs w:val="24"/>
          <w:u w:val="single"/>
        </w:rPr>
        <w:t xml:space="preserve">3. Soluciones técnicas a través de la electrónica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>Proyectos de innovación mediante el uso de la electrónica. Juguetes electrónicos y prototipos. Aplicaciones de la electrónica en la robótica, la domótica y la automatización en el entorno de Cuba.</w:t>
      </w:r>
      <w:r w:rsidR="00081229" w:rsidRPr="00081229">
        <w:rPr>
          <w:rFonts w:ascii="Arial" w:hAnsi="Arial" w:cs="Arial"/>
          <w:sz w:val="24"/>
          <w:szCs w:val="24"/>
        </w:rPr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  <w:u w:val="single"/>
        </w:rPr>
      </w:pPr>
      <w:r w:rsidRPr="00081229">
        <w:rPr>
          <w:rFonts w:ascii="Arial" w:hAnsi="Arial" w:cs="Arial"/>
          <w:sz w:val="24"/>
          <w:szCs w:val="24"/>
          <w:u w:val="single"/>
        </w:rPr>
        <w:t xml:space="preserve">4. Atención a los sectores de la sociedad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Trabajo con los infantes. Retos de la introducción de las TIC en edades tempranas.  Minimizar la brecha digital en las personas con discapacidad. </w:t>
      </w:r>
      <w:proofErr w:type="gramStart"/>
      <w:r w:rsidRPr="00081229">
        <w:rPr>
          <w:rFonts w:ascii="Arial" w:hAnsi="Arial" w:cs="Arial"/>
          <w:sz w:val="24"/>
          <w:szCs w:val="24"/>
        </w:rPr>
        <w:t>El</w:t>
      </w:r>
      <w:proofErr w:type="gramEnd"/>
      <w:r w:rsidRPr="00081229">
        <w:rPr>
          <w:rFonts w:ascii="Arial" w:hAnsi="Arial" w:cs="Arial"/>
          <w:sz w:val="24"/>
          <w:szCs w:val="24"/>
        </w:rPr>
        <w:t xml:space="preserve"> tele-trabajo como expresión de accesibilidad. Integración del adulto mayor en el entono en línea. Utilización de las TIC como herramientas para alcanzar la igualdad de género y el empoderamiento de las mujeres y las niñas. </w:t>
      </w:r>
    </w:p>
    <w:p w:rsidR="00081229" w:rsidRPr="00081229" w:rsidRDefault="00081229" w:rsidP="00081229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  <w:u w:val="single"/>
        </w:rPr>
      </w:pPr>
      <w:r w:rsidRPr="00081229">
        <w:rPr>
          <w:rFonts w:ascii="Arial" w:hAnsi="Arial" w:cs="Arial"/>
          <w:sz w:val="24"/>
          <w:szCs w:val="24"/>
          <w:u w:val="single"/>
        </w:rPr>
        <w:t xml:space="preserve">5. Atención ciudadana, protección al consumidor y calidad percibida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Experiencias de impacto sobre atención ciudadana y protección al consumidor.  Métodos innovadores para medir calidad percibida de productos y servicios.  Incremento de la calidad con soluciones de gobierno electrónico y participación ciudadana.  Estrategias de comunicación aplicadas a la atención ciudadana.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  <w:u w:val="single"/>
        </w:rPr>
      </w:pPr>
      <w:r w:rsidRPr="00081229">
        <w:rPr>
          <w:rFonts w:ascii="Arial" w:hAnsi="Arial" w:cs="Arial"/>
          <w:sz w:val="24"/>
          <w:szCs w:val="24"/>
          <w:u w:val="single"/>
        </w:rPr>
        <w:t xml:space="preserve">6. Las TIC y la electrónica en el proceso de formación 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Experiencias de éxito en el proceso de enseñanza aprendizaje.  La formación de posgrado y diplomado. Retos y estrategias en el entorno de Cuba. Propuestas para la mejora de los métodos de formación. Sistemas o herramientas informáticas como apoyo al proceso. Enseñanza de la electrónica y sus aplicaciones. </w:t>
      </w:r>
    </w:p>
    <w:p w:rsidR="00912002" w:rsidRPr="00081229" w:rsidRDefault="00912002" w:rsidP="00081229">
      <w:pPr>
        <w:jc w:val="both"/>
        <w:rPr>
          <w:rFonts w:ascii="Arial" w:hAnsi="Arial" w:cs="Arial"/>
          <w:b/>
          <w:sz w:val="24"/>
          <w:szCs w:val="24"/>
        </w:rPr>
      </w:pPr>
      <w:r w:rsidRPr="00081229">
        <w:rPr>
          <w:rFonts w:ascii="Arial" w:hAnsi="Arial" w:cs="Arial"/>
          <w:b/>
          <w:sz w:val="24"/>
          <w:szCs w:val="24"/>
        </w:rPr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b/>
          <w:sz w:val="24"/>
          <w:szCs w:val="24"/>
        </w:rPr>
      </w:pPr>
      <w:r w:rsidRPr="00081229">
        <w:rPr>
          <w:rFonts w:ascii="Arial" w:hAnsi="Arial" w:cs="Arial"/>
          <w:b/>
          <w:sz w:val="24"/>
          <w:szCs w:val="24"/>
        </w:rPr>
        <w:t xml:space="preserve">Participantes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lastRenderedPageBreak/>
        <w:t xml:space="preserve">Podrán participar personas naturales cubanas interesadas en mostrar trabajos o proyectos relacionados con las temáticas de concurso.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  </w:t>
      </w:r>
    </w:p>
    <w:p w:rsidR="00081229" w:rsidRPr="00081229" w:rsidRDefault="00081229" w:rsidP="00081229">
      <w:pPr>
        <w:jc w:val="both"/>
        <w:rPr>
          <w:rFonts w:ascii="Arial" w:hAnsi="Arial" w:cs="Arial"/>
          <w:sz w:val="24"/>
          <w:szCs w:val="24"/>
        </w:rPr>
      </w:pPr>
    </w:p>
    <w:p w:rsidR="00912002" w:rsidRPr="00081229" w:rsidRDefault="00912002" w:rsidP="00081229">
      <w:pPr>
        <w:jc w:val="both"/>
        <w:rPr>
          <w:rFonts w:ascii="Arial" w:hAnsi="Arial" w:cs="Arial"/>
          <w:b/>
          <w:sz w:val="24"/>
          <w:szCs w:val="24"/>
        </w:rPr>
      </w:pPr>
      <w:r w:rsidRPr="00081229">
        <w:rPr>
          <w:rFonts w:ascii="Arial" w:hAnsi="Arial" w:cs="Arial"/>
          <w:b/>
          <w:sz w:val="24"/>
          <w:szCs w:val="24"/>
        </w:rPr>
        <w:t xml:space="preserve">Criterios de evaluación de las ponencias </w:t>
      </w:r>
    </w:p>
    <w:p w:rsidR="00081229" w:rsidRPr="00081229" w:rsidRDefault="00081229" w:rsidP="0008122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Rigor metodológico. </w:t>
      </w:r>
      <w:r w:rsidR="00912002" w:rsidRPr="00081229">
        <w:rPr>
          <w:rFonts w:ascii="Arial" w:hAnsi="Arial" w:cs="Arial"/>
          <w:sz w:val="24"/>
          <w:szCs w:val="24"/>
        </w:rPr>
        <w:t xml:space="preserve"> </w:t>
      </w:r>
    </w:p>
    <w:p w:rsidR="00081229" w:rsidRPr="00081229" w:rsidRDefault="00912002" w:rsidP="0008122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Originalidad. </w:t>
      </w:r>
    </w:p>
    <w:p w:rsidR="00081229" w:rsidRPr="00081229" w:rsidRDefault="00081229" w:rsidP="0008122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Actualidad. </w:t>
      </w:r>
    </w:p>
    <w:p w:rsidR="00081229" w:rsidRPr="00081229" w:rsidRDefault="00081229" w:rsidP="0008122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Impacto. </w:t>
      </w:r>
    </w:p>
    <w:p w:rsidR="00081229" w:rsidRPr="00081229" w:rsidRDefault="00912002" w:rsidP="0008122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>Aplicabilida</w:t>
      </w:r>
      <w:r w:rsidR="00081229" w:rsidRPr="00081229">
        <w:rPr>
          <w:rFonts w:ascii="Arial" w:hAnsi="Arial" w:cs="Arial"/>
          <w:sz w:val="24"/>
          <w:szCs w:val="24"/>
        </w:rPr>
        <w:t xml:space="preserve">d.  </w:t>
      </w:r>
    </w:p>
    <w:p w:rsidR="00912002" w:rsidRPr="00081229" w:rsidRDefault="00912002" w:rsidP="0008122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Valoración de resultados.                                             </w:t>
      </w:r>
    </w:p>
    <w:p w:rsidR="00912002" w:rsidRPr="00081229" w:rsidRDefault="00912002" w:rsidP="00081229">
      <w:pPr>
        <w:jc w:val="both"/>
        <w:rPr>
          <w:rFonts w:ascii="Arial" w:hAnsi="Arial" w:cs="Arial"/>
          <w:b/>
          <w:sz w:val="24"/>
          <w:szCs w:val="24"/>
        </w:rPr>
      </w:pPr>
      <w:r w:rsidRPr="00081229">
        <w:rPr>
          <w:rFonts w:ascii="Arial" w:hAnsi="Arial" w:cs="Arial"/>
          <w:b/>
          <w:sz w:val="24"/>
          <w:szCs w:val="24"/>
        </w:rPr>
        <w:t xml:space="preserve">Ponencias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Las ponencias para concurso serán presentadas conforme a las especificaciones del evento, para lo que deben cumplir con los parámetros establecidos en la plantilla definida. </w:t>
      </w:r>
    </w:p>
    <w:p w:rsidR="00912002" w:rsidRPr="00081229" w:rsidRDefault="00912002" w:rsidP="00081229">
      <w:pPr>
        <w:jc w:val="both"/>
        <w:rPr>
          <w:rFonts w:ascii="Arial" w:hAnsi="Arial" w:cs="Arial"/>
          <w:b/>
          <w:sz w:val="24"/>
          <w:szCs w:val="24"/>
        </w:rPr>
      </w:pPr>
      <w:r w:rsidRPr="00081229">
        <w:rPr>
          <w:rFonts w:ascii="Arial" w:hAnsi="Arial" w:cs="Arial"/>
          <w:b/>
          <w:sz w:val="24"/>
          <w:szCs w:val="24"/>
        </w:rPr>
        <w:t xml:space="preserve">Anexo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Fechas importantes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- </w:t>
      </w:r>
      <w:r w:rsidRPr="00081229">
        <w:rPr>
          <w:rFonts w:ascii="Arial" w:hAnsi="Arial" w:cs="Arial"/>
          <w:b/>
          <w:sz w:val="24"/>
          <w:szCs w:val="24"/>
        </w:rPr>
        <w:t>Talleres pro</w:t>
      </w:r>
      <w:r w:rsidR="00081229" w:rsidRPr="00081229">
        <w:rPr>
          <w:rFonts w:ascii="Arial" w:hAnsi="Arial" w:cs="Arial"/>
          <w:b/>
          <w:sz w:val="24"/>
          <w:szCs w:val="24"/>
        </w:rPr>
        <w:t>vinciales:</w:t>
      </w:r>
      <w:r w:rsidR="00081229" w:rsidRPr="00081229">
        <w:rPr>
          <w:rFonts w:ascii="Arial" w:hAnsi="Arial" w:cs="Arial"/>
          <w:sz w:val="24"/>
          <w:szCs w:val="24"/>
        </w:rPr>
        <w:t xml:space="preserve"> Del 4 al 8 de marzo</w:t>
      </w:r>
      <w:r w:rsidRPr="00081229">
        <w:rPr>
          <w:rFonts w:ascii="Arial" w:hAnsi="Arial" w:cs="Arial"/>
          <w:sz w:val="24"/>
          <w:szCs w:val="24"/>
        </w:rPr>
        <w:t xml:space="preserve"> de 2019.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Sesionarán en cada territorio con el objetivo de identificar las mejores propuestas para participar en el evento nacional.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- </w:t>
      </w:r>
      <w:r w:rsidRPr="00081229">
        <w:rPr>
          <w:rFonts w:ascii="Arial" w:hAnsi="Arial" w:cs="Arial"/>
          <w:b/>
          <w:sz w:val="24"/>
          <w:szCs w:val="24"/>
        </w:rPr>
        <w:t>Fecha lím</w:t>
      </w:r>
      <w:r w:rsidR="00081229" w:rsidRPr="00081229">
        <w:rPr>
          <w:rFonts w:ascii="Arial" w:hAnsi="Arial" w:cs="Arial"/>
          <w:b/>
          <w:sz w:val="24"/>
          <w:szCs w:val="24"/>
        </w:rPr>
        <w:t>ite para el envío de trabajos:</w:t>
      </w:r>
      <w:r w:rsidR="00081229" w:rsidRPr="00081229">
        <w:rPr>
          <w:rFonts w:ascii="Arial" w:hAnsi="Arial" w:cs="Arial"/>
          <w:sz w:val="24"/>
          <w:szCs w:val="24"/>
        </w:rPr>
        <w:t xml:space="preserve"> 29 de marzo</w:t>
      </w:r>
      <w:r w:rsidRPr="00081229">
        <w:rPr>
          <w:rFonts w:ascii="Arial" w:hAnsi="Arial" w:cs="Arial"/>
          <w:sz w:val="24"/>
          <w:szCs w:val="24"/>
        </w:rPr>
        <w:t xml:space="preserve"> de 2019.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Los trabajos ganadores serán enviados al correo infoclub@jovenclub.cu para su valoración por el Comité Científico nacional. 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 xml:space="preserve">- </w:t>
      </w:r>
      <w:r w:rsidRPr="00081229">
        <w:rPr>
          <w:rFonts w:ascii="Arial" w:hAnsi="Arial" w:cs="Arial"/>
          <w:b/>
          <w:sz w:val="24"/>
          <w:szCs w:val="24"/>
        </w:rPr>
        <w:t>Publicaci</w:t>
      </w:r>
      <w:r w:rsidR="00081229" w:rsidRPr="00081229">
        <w:rPr>
          <w:rFonts w:ascii="Arial" w:hAnsi="Arial" w:cs="Arial"/>
          <w:b/>
          <w:sz w:val="24"/>
          <w:szCs w:val="24"/>
        </w:rPr>
        <w:t>ón de trabajos seleccionados:</w:t>
      </w:r>
      <w:r w:rsidR="00081229" w:rsidRPr="00081229">
        <w:rPr>
          <w:rFonts w:ascii="Arial" w:hAnsi="Arial" w:cs="Arial"/>
          <w:sz w:val="24"/>
          <w:szCs w:val="24"/>
        </w:rPr>
        <w:t xml:space="preserve"> 30 de abril</w:t>
      </w:r>
      <w:r w:rsidRPr="00081229">
        <w:rPr>
          <w:rFonts w:ascii="Arial" w:hAnsi="Arial" w:cs="Arial"/>
          <w:sz w:val="24"/>
          <w:szCs w:val="24"/>
        </w:rPr>
        <w:t xml:space="preserve"> de 2019.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>Los seleccionados para concursar en el evento serán notificados vía correo electrónico por el Comité Organizador.</w:t>
      </w:r>
      <w:r w:rsidR="00081229">
        <w:rPr>
          <w:rFonts w:ascii="Arial" w:hAnsi="Arial" w:cs="Arial"/>
          <w:sz w:val="24"/>
          <w:szCs w:val="24"/>
        </w:rPr>
        <w:t xml:space="preserve"> </w:t>
      </w:r>
    </w:p>
    <w:p w:rsidR="00912002" w:rsidRPr="00081229" w:rsidRDefault="00912002" w:rsidP="00081229">
      <w:pPr>
        <w:jc w:val="both"/>
        <w:rPr>
          <w:rFonts w:ascii="Arial" w:hAnsi="Arial" w:cs="Arial"/>
          <w:sz w:val="24"/>
          <w:szCs w:val="24"/>
        </w:rPr>
      </w:pPr>
      <w:r w:rsidRPr="00081229">
        <w:rPr>
          <w:rFonts w:ascii="Arial" w:hAnsi="Arial" w:cs="Arial"/>
          <w:sz w:val="24"/>
          <w:szCs w:val="24"/>
        </w:rPr>
        <w:t>Contamos con su participación.</w:t>
      </w:r>
      <w:r w:rsidR="00081229">
        <w:rPr>
          <w:rFonts w:ascii="Arial" w:hAnsi="Arial" w:cs="Arial"/>
          <w:sz w:val="24"/>
          <w:szCs w:val="24"/>
        </w:rPr>
        <w:t xml:space="preserve"> </w:t>
      </w:r>
    </w:p>
    <w:p w:rsidR="00286B18" w:rsidRPr="00081229" w:rsidRDefault="00912002" w:rsidP="00081229">
      <w:pPr>
        <w:jc w:val="both"/>
        <w:rPr>
          <w:rFonts w:ascii="Arial" w:hAnsi="Arial" w:cs="Arial"/>
          <w:b/>
          <w:i/>
          <w:sz w:val="24"/>
          <w:szCs w:val="24"/>
        </w:rPr>
      </w:pPr>
      <w:r w:rsidRPr="00081229">
        <w:rPr>
          <w:rFonts w:ascii="Arial" w:hAnsi="Arial" w:cs="Arial"/>
          <w:b/>
          <w:i/>
          <w:sz w:val="24"/>
          <w:szCs w:val="24"/>
        </w:rPr>
        <w:t>Comité Científico</w:t>
      </w:r>
    </w:p>
    <w:sectPr w:rsidR="00286B18" w:rsidRPr="000812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5ED" w:rsidRDefault="00E245ED" w:rsidP="00912002">
      <w:pPr>
        <w:spacing w:after="0" w:line="240" w:lineRule="auto"/>
      </w:pPr>
      <w:r>
        <w:separator/>
      </w:r>
    </w:p>
  </w:endnote>
  <w:endnote w:type="continuationSeparator" w:id="0">
    <w:p w:rsidR="00E245ED" w:rsidRDefault="00E245ED" w:rsidP="00912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5ED" w:rsidRDefault="00E245ED" w:rsidP="00912002">
      <w:pPr>
        <w:spacing w:after="0" w:line="240" w:lineRule="auto"/>
      </w:pPr>
      <w:r>
        <w:separator/>
      </w:r>
    </w:p>
  </w:footnote>
  <w:footnote w:type="continuationSeparator" w:id="0">
    <w:p w:rsidR="00E245ED" w:rsidRDefault="00E245ED" w:rsidP="00912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02" w:rsidRDefault="00912002">
    <w:pPr>
      <w:pStyle w:val="Encabezado"/>
    </w:pPr>
    <w:r>
      <w:rPr>
        <w:rFonts w:ascii="Times New Roman" w:hAnsi="Times New Roman"/>
        <w:noProof/>
        <w:sz w:val="24"/>
        <w:szCs w:val="24"/>
        <w:lang w:val="es-ES" w:eastAsia="es-ES"/>
      </w:rPr>
      <w:drawing>
        <wp:anchor distT="0" distB="0" distL="114300" distR="114300" simplePos="0" relativeHeight="251659264" behindDoc="0" locked="0" layoutInCell="1" allowOverlap="1" wp14:anchorId="699C05F0" wp14:editId="219CB79C">
          <wp:simplePos x="0" y="0"/>
          <wp:positionH relativeFrom="column">
            <wp:posOffset>4711065</wp:posOffset>
          </wp:positionH>
          <wp:positionV relativeFrom="paragraph">
            <wp:posOffset>-277495</wp:posOffset>
          </wp:positionV>
          <wp:extent cx="1609090" cy="812800"/>
          <wp:effectExtent l="0" t="0" r="0" b="6350"/>
          <wp:wrapNone/>
          <wp:docPr id="1" name="Imagen 1" descr="infoclu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foclu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81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CC8C42B" wp14:editId="2D1A6B88">
          <wp:simplePos x="0" y="0"/>
          <wp:positionH relativeFrom="column">
            <wp:posOffset>-851535</wp:posOffset>
          </wp:positionH>
          <wp:positionV relativeFrom="paragraph">
            <wp:posOffset>-278130</wp:posOffset>
          </wp:positionV>
          <wp:extent cx="1514475" cy="676275"/>
          <wp:effectExtent l="0" t="0" r="9525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B5BD1"/>
    <w:multiLevelType w:val="hybridMultilevel"/>
    <w:tmpl w:val="78FE3C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02"/>
    <w:rsid w:val="00081229"/>
    <w:rsid w:val="00286B18"/>
    <w:rsid w:val="0049027C"/>
    <w:rsid w:val="006C56E6"/>
    <w:rsid w:val="006E3D9D"/>
    <w:rsid w:val="00912002"/>
    <w:rsid w:val="00C11126"/>
    <w:rsid w:val="00E245ED"/>
    <w:rsid w:val="00E8044B"/>
    <w:rsid w:val="00F4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8BA2C4-5D8F-4D64-A6C0-BB7F79B0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20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2002"/>
  </w:style>
  <w:style w:type="paragraph" w:styleId="Piedepgina">
    <w:name w:val="footer"/>
    <w:basedOn w:val="Normal"/>
    <w:link w:val="PiedepginaCar"/>
    <w:uiPriority w:val="99"/>
    <w:unhideWhenUsed/>
    <w:rsid w:val="009120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002"/>
  </w:style>
  <w:style w:type="paragraph" w:styleId="Textodeglobo">
    <w:name w:val="Balloon Text"/>
    <w:basedOn w:val="Normal"/>
    <w:link w:val="TextodegloboCar"/>
    <w:uiPriority w:val="99"/>
    <w:semiHidden/>
    <w:unhideWhenUsed/>
    <w:rsid w:val="00912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20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81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Diaz</dc:creator>
  <cp:lastModifiedBy>Alberto</cp:lastModifiedBy>
  <cp:revision>2</cp:revision>
  <cp:lastPrinted>2019-01-15T16:10:00Z</cp:lastPrinted>
  <dcterms:created xsi:type="dcterms:W3CDTF">2019-01-24T15:44:00Z</dcterms:created>
  <dcterms:modified xsi:type="dcterms:W3CDTF">2019-01-24T15:44:00Z</dcterms:modified>
</cp:coreProperties>
</file>